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72" w:rsidRPr="0003466C" w:rsidRDefault="00E85872">
      <w:pPr>
        <w:pStyle w:val="ConsPlusTitle"/>
        <w:jc w:val="center"/>
        <w:outlineLvl w:val="0"/>
        <w:rPr>
          <w:color w:val="000000"/>
        </w:rPr>
      </w:pPr>
      <w:r w:rsidRPr="0003466C">
        <w:rPr>
          <w:color w:val="000000"/>
        </w:rPr>
        <w:t>ДУМА МУНИЦИПАЛЬНОГО ОБРАЗОВАНИЯ -</w:t>
      </w:r>
    </w:p>
    <w:p w:rsidR="00E85872" w:rsidRPr="0003466C" w:rsidRDefault="00E85872">
      <w:pPr>
        <w:pStyle w:val="ConsPlusTitle"/>
        <w:jc w:val="center"/>
        <w:rPr>
          <w:color w:val="000000"/>
        </w:rPr>
      </w:pPr>
      <w:r w:rsidRPr="0003466C">
        <w:rPr>
          <w:color w:val="000000"/>
        </w:rPr>
        <w:t>ГОРОДСКОЙ ОКРУГ Г. САСОВО РЯЗАНСКОЙ ОБЛАСТИ</w:t>
      </w:r>
    </w:p>
    <w:p w:rsidR="00E85872" w:rsidRPr="0003466C" w:rsidRDefault="00E85872">
      <w:pPr>
        <w:pStyle w:val="ConsPlusTitle"/>
        <w:jc w:val="center"/>
        <w:rPr>
          <w:color w:val="000000"/>
        </w:rPr>
      </w:pPr>
    </w:p>
    <w:p w:rsidR="00E85872" w:rsidRPr="0003466C" w:rsidRDefault="00E85872">
      <w:pPr>
        <w:pStyle w:val="ConsPlusTitle"/>
        <w:jc w:val="center"/>
        <w:rPr>
          <w:color w:val="000000"/>
        </w:rPr>
      </w:pPr>
      <w:r w:rsidRPr="0003466C">
        <w:rPr>
          <w:color w:val="000000"/>
        </w:rPr>
        <w:t>РЕШЕНИЕ</w:t>
      </w:r>
    </w:p>
    <w:p w:rsidR="00E85872" w:rsidRPr="0003466C" w:rsidRDefault="00E85872">
      <w:pPr>
        <w:pStyle w:val="ConsPlusTitle"/>
        <w:jc w:val="center"/>
        <w:rPr>
          <w:color w:val="000000"/>
        </w:rPr>
      </w:pPr>
      <w:r w:rsidRPr="0003466C">
        <w:rPr>
          <w:color w:val="000000"/>
        </w:rPr>
        <w:t xml:space="preserve">от 15 сентября </w:t>
      </w:r>
      <w:smartTag w:uri="urn:schemas-microsoft-com:office:smarttags" w:element="metricconverter">
        <w:smartTagPr>
          <w:attr w:name="ProductID" w:val="2016 г"/>
        </w:smartTagPr>
        <w:r w:rsidRPr="0003466C">
          <w:rPr>
            <w:color w:val="000000"/>
          </w:rPr>
          <w:t>2016 г</w:t>
        </w:r>
      </w:smartTag>
      <w:r w:rsidRPr="0003466C">
        <w:rPr>
          <w:color w:val="000000"/>
        </w:rPr>
        <w:t>. N 103</w:t>
      </w:r>
    </w:p>
    <w:p w:rsidR="00E85872" w:rsidRPr="0003466C" w:rsidRDefault="00E85872">
      <w:pPr>
        <w:pStyle w:val="ConsPlusTitle"/>
        <w:jc w:val="center"/>
        <w:rPr>
          <w:color w:val="000000"/>
        </w:rPr>
      </w:pPr>
    </w:p>
    <w:p w:rsidR="00E85872" w:rsidRPr="0003466C" w:rsidRDefault="00E85872">
      <w:pPr>
        <w:pStyle w:val="ConsPlusTitle"/>
        <w:jc w:val="center"/>
        <w:rPr>
          <w:color w:val="000000"/>
        </w:rPr>
      </w:pPr>
      <w:r w:rsidRPr="0003466C">
        <w:rPr>
          <w:color w:val="000000"/>
        </w:rPr>
        <w:t>О СИСТЕМЕ НАЛОГООБЛОЖЕНИЯ В ВИДЕ ЕДИНОГО НАЛОГА НА ВМЕНЕННЫЙ</w:t>
      </w:r>
    </w:p>
    <w:p w:rsidR="00E85872" w:rsidRPr="0003466C" w:rsidRDefault="00E85872">
      <w:pPr>
        <w:pStyle w:val="ConsPlusTitle"/>
        <w:jc w:val="center"/>
        <w:rPr>
          <w:color w:val="000000"/>
        </w:rPr>
      </w:pPr>
      <w:r w:rsidRPr="0003466C">
        <w:rPr>
          <w:color w:val="000000"/>
        </w:rPr>
        <w:t>ДОХОД ДЛЯ ОТДЕЛЬНЫХ ВИДОВ ДЕЯТЕЛЬНОСТИ НА ТЕРРИТОРИИ</w:t>
      </w:r>
    </w:p>
    <w:p w:rsidR="00E85872" w:rsidRPr="0003466C" w:rsidRDefault="00E85872">
      <w:pPr>
        <w:pStyle w:val="ConsPlusTitle"/>
        <w:jc w:val="center"/>
        <w:rPr>
          <w:color w:val="000000"/>
        </w:rPr>
      </w:pPr>
      <w:r w:rsidRPr="0003466C">
        <w:rPr>
          <w:color w:val="000000"/>
        </w:rPr>
        <w:t>МУНИЦИПАЛЬНОГО ОБРАЗОВАНИЯ - ГОРОДСКОЙ ОКРУГ ГОРОД САСОВО</w:t>
      </w:r>
    </w:p>
    <w:p w:rsidR="00E85872" w:rsidRPr="0003466C" w:rsidRDefault="00E85872">
      <w:pPr>
        <w:pStyle w:val="ConsPlusTitle"/>
        <w:jc w:val="center"/>
        <w:rPr>
          <w:color w:val="000000"/>
        </w:rPr>
      </w:pPr>
      <w:r w:rsidRPr="0003466C">
        <w:rPr>
          <w:color w:val="000000"/>
        </w:rPr>
        <w:t>В 2017 ГОДУ</w:t>
      </w:r>
    </w:p>
    <w:p w:rsidR="00E85872" w:rsidRPr="0003466C" w:rsidRDefault="00E85872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E85872" w:rsidRPr="0003466C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E85872" w:rsidRPr="0003466C" w:rsidRDefault="00E85872">
            <w:pPr>
              <w:pStyle w:val="ConsPlusNormal"/>
              <w:jc w:val="center"/>
              <w:rPr>
                <w:color w:val="000000"/>
              </w:rPr>
            </w:pPr>
            <w:r w:rsidRPr="0003466C">
              <w:rPr>
                <w:color w:val="000000"/>
              </w:rPr>
              <w:t>Список изменяющих документов</w:t>
            </w:r>
          </w:p>
          <w:p w:rsidR="00E85872" w:rsidRPr="0003466C" w:rsidRDefault="00E85872">
            <w:pPr>
              <w:pStyle w:val="ConsPlusNormal"/>
              <w:jc w:val="center"/>
              <w:rPr>
                <w:color w:val="000000"/>
              </w:rPr>
            </w:pPr>
            <w:r w:rsidRPr="0003466C">
              <w:rPr>
                <w:color w:val="000000"/>
              </w:rPr>
              <w:t xml:space="preserve">(в ред. </w:t>
            </w:r>
            <w:hyperlink r:id="rId4" w:history="1">
              <w:r w:rsidRPr="0003466C">
                <w:rPr>
                  <w:color w:val="000000"/>
                </w:rPr>
                <w:t>Решения</w:t>
              </w:r>
            </w:hyperlink>
            <w:r w:rsidRPr="0003466C">
              <w:rPr>
                <w:color w:val="000000"/>
              </w:rPr>
              <w:t xml:space="preserve"> Сасовской городской Думы Рязанской области</w:t>
            </w:r>
          </w:p>
          <w:p w:rsidR="00E85872" w:rsidRPr="0003466C" w:rsidRDefault="00E85872">
            <w:pPr>
              <w:pStyle w:val="ConsPlusNormal"/>
              <w:jc w:val="center"/>
              <w:rPr>
                <w:color w:val="000000"/>
              </w:rPr>
            </w:pPr>
            <w:r w:rsidRPr="0003466C">
              <w:rPr>
                <w:color w:val="000000"/>
              </w:rPr>
              <w:t>от 30.11.2016 N 145,</w:t>
            </w:r>
          </w:p>
          <w:p w:rsidR="00E85872" w:rsidRPr="0003466C" w:rsidRDefault="00E85872">
            <w:pPr>
              <w:pStyle w:val="ConsPlusNormal"/>
              <w:jc w:val="center"/>
              <w:rPr>
                <w:color w:val="000000"/>
              </w:rPr>
            </w:pPr>
            <w:r w:rsidRPr="0003466C">
              <w:rPr>
                <w:color w:val="000000"/>
              </w:rPr>
              <w:t>с изм., внесенными Решениями Сасовской городской Думы Рязанской области</w:t>
            </w:r>
          </w:p>
          <w:p w:rsidR="00E85872" w:rsidRPr="0003466C" w:rsidRDefault="00E85872">
            <w:pPr>
              <w:pStyle w:val="ConsPlusNormal"/>
              <w:jc w:val="center"/>
              <w:rPr>
                <w:color w:val="000000"/>
              </w:rPr>
            </w:pPr>
            <w:r w:rsidRPr="0003466C">
              <w:rPr>
                <w:color w:val="000000"/>
              </w:rPr>
              <w:t xml:space="preserve">от 28.09.2017 </w:t>
            </w:r>
            <w:hyperlink r:id="rId5" w:history="1">
              <w:r w:rsidRPr="0003466C">
                <w:rPr>
                  <w:color w:val="000000"/>
                </w:rPr>
                <w:t>N 85</w:t>
              </w:r>
            </w:hyperlink>
            <w:r w:rsidRPr="0003466C">
              <w:rPr>
                <w:color w:val="000000"/>
              </w:rPr>
              <w:t xml:space="preserve">, от 20.09.2018 </w:t>
            </w:r>
            <w:hyperlink r:id="rId6" w:history="1">
              <w:r w:rsidRPr="0003466C">
                <w:rPr>
                  <w:color w:val="000000"/>
                </w:rPr>
                <w:t>N 95</w:t>
              </w:r>
            </w:hyperlink>
            <w:r w:rsidRPr="0003466C">
              <w:rPr>
                <w:color w:val="000000"/>
              </w:rPr>
              <w:t xml:space="preserve">, от 19.09.2019 </w:t>
            </w:r>
            <w:hyperlink r:id="rId7" w:history="1">
              <w:r w:rsidRPr="0003466C">
                <w:rPr>
                  <w:color w:val="000000"/>
                </w:rPr>
                <w:t>N 77</w:t>
              </w:r>
            </w:hyperlink>
            <w:r w:rsidRPr="0003466C">
              <w:rPr>
                <w:color w:val="000000"/>
              </w:rPr>
              <w:t>)</w:t>
            </w:r>
          </w:p>
        </w:tc>
      </w:tr>
    </w:tbl>
    <w:p w:rsidR="00E85872" w:rsidRPr="0003466C" w:rsidRDefault="00E85872">
      <w:pPr>
        <w:pStyle w:val="ConsPlusNormal"/>
        <w:jc w:val="both"/>
        <w:rPr>
          <w:color w:val="000000"/>
        </w:rPr>
      </w:pPr>
    </w:p>
    <w:p w:rsidR="00E85872" w:rsidRPr="0003466C" w:rsidRDefault="00E85872">
      <w:pPr>
        <w:pStyle w:val="ConsPlusNormal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Рассмотрев отношение главы администрации N 3067 от 07.09.2016, в соответствии с </w:t>
      </w:r>
      <w:hyperlink r:id="rId8" w:history="1">
        <w:r w:rsidRPr="0003466C">
          <w:rPr>
            <w:color w:val="000000"/>
          </w:rPr>
          <w:t>главой 26.3</w:t>
        </w:r>
      </w:hyperlink>
      <w:r w:rsidRPr="0003466C">
        <w:rPr>
          <w:color w:val="000000"/>
        </w:rPr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 Дума города Сасово решила: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Установить на территории муниципального образования - городской округ город Сасово систему налогообложения в виде единого налога на вмененный доход для отдельных видов деятельности в следующем порядке: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Система налогообложения в виде единого налога на вмененный доход для отдельных видов деятельности по муниципальному образованию - городской округ город Сасово применяется в отношении следующих видов предпринимательской деятельности: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1) оказание бытовых услуг;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2) оказание ветеринарных услуг;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3) оказание услуг по ремонту, техническому обслуживанию и мойке автомототранспортных средств;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10) распространение наружной рекламы с использованием рекламных конструкций;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11) размещение рекламы с использованием внешних и внутренних поверхностей транспортных средств;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Установить значения корректирующих коэффициентов базовой доходности К2 для исчисления суммы единого налога на вмененный доход для следующих видов деятельности:</w:t>
      </w:r>
    </w:p>
    <w:p w:rsidR="00E85872" w:rsidRPr="0003466C" w:rsidRDefault="00E85872">
      <w:pPr>
        <w:pStyle w:val="ConsPlusNormal"/>
        <w:spacing w:before="28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2.1. Оказание бытовых услуг - согласно </w:t>
      </w:r>
      <w:hyperlink w:anchor="P80" w:history="1">
        <w:r w:rsidRPr="0003466C">
          <w:rPr>
            <w:color w:val="000000"/>
          </w:rPr>
          <w:t>Приложению N 1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2.2. Оказание ветеринарных услуг - согласно </w:t>
      </w:r>
      <w:hyperlink w:anchor="P301" w:history="1">
        <w:r w:rsidRPr="0003466C">
          <w:rPr>
            <w:color w:val="000000"/>
          </w:rPr>
          <w:t>Приложению N 2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2.3. Оказание услуг по ремонту, техническому обслуживанию и мойке автомототранспортных средств - согласно </w:t>
      </w:r>
      <w:hyperlink w:anchor="P331" w:history="1">
        <w:r w:rsidRPr="0003466C">
          <w:rPr>
            <w:color w:val="000000"/>
          </w:rPr>
          <w:t>Приложению N 3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- согласно </w:t>
      </w:r>
      <w:hyperlink w:anchor="P357" w:history="1">
        <w:r w:rsidRPr="0003466C">
          <w:rPr>
            <w:color w:val="000000"/>
          </w:rPr>
          <w:t>Приложению N 4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согласно </w:t>
      </w:r>
      <w:hyperlink w:anchor="P381" w:history="1">
        <w:r w:rsidRPr="0003466C">
          <w:rPr>
            <w:color w:val="000000"/>
          </w:rPr>
          <w:t>Приложению N 5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по следующим подвидам деятельности: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а) 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 (магазины, павильоны), имеющие торговые залы, - согласно </w:t>
      </w:r>
      <w:hyperlink w:anchor="P410" w:history="1">
        <w:r w:rsidRPr="0003466C">
          <w:rPr>
            <w:color w:val="000000"/>
          </w:rPr>
          <w:t>Приложению N 6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б) 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 (магазины, павильоны), имеющие торговые залы, - согласно </w:t>
      </w:r>
      <w:hyperlink w:anchor="P470" w:history="1">
        <w:r w:rsidRPr="0003466C">
          <w:rPr>
            <w:color w:val="000000"/>
          </w:rPr>
          <w:t>Приложению N 7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в) специализированная розничная торговля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 (магазины, павильоны), имеющие торговые залы, - согласно </w:t>
      </w:r>
      <w:hyperlink w:anchor="P555" w:history="1">
        <w:r w:rsidRPr="0003466C">
          <w:rPr>
            <w:color w:val="000000"/>
          </w:rPr>
          <w:t>Приложению N 8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г) специализированная розничная торговля, осуществляемая через объекты торговой сети (аптеки, аптечные пункты), - согласно </w:t>
      </w:r>
      <w:hyperlink w:anchor="P852" w:history="1">
        <w:r w:rsidRPr="0003466C">
          <w:rPr>
            <w:color w:val="000000"/>
          </w:rPr>
          <w:t>Приложению N 9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2.7.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по следующим подвидам деятельности: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а) 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- согласно </w:t>
      </w:r>
      <w:hyperlink w:anchor="P898" w:history="1">
        <w:r w:rsidRPr="0003466C">
          <w:rPr>
            <w:color w:val="000000"/>
          </w:rPr>
          <w:t>Приложению N 10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б) 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- согласно </w:t>
      </w:r>
      <w:hyperlink w:anchor="P930" w:history="1">
        <w:r w:rsidRPr="0003466C">
          <w:rPr>
            <w:color w:val="000000"/>
          </w:rPr>
          <w:t>Приложению N 11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в) 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- согласно </w:t>
      </w:r>
      <w:hyperlink w:anchor="P983" w:history="1">
        <w:r w:rsidRPr="0003466C">
          <w:rPr>
            <w:color w:val="000000"/>
          </w:rPr>
          <w:t>Приложению N 12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г) 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- согласно </w:t>
      </w:r>
      <w:hyperlink w:anchor="P1098" w:history="1">
        <w:r w:rsidRPr="0003466C">
          <w:rPr>
            <w:color w:val="000000"/>
          </w:rPr>
          <w:t>Приложению N 13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д) 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- согласно </w:t>
      </w:r>
      <w:hyperlink w:anchor="P1129" w:history="1">
        <w:r w:rsidRPr="0003466C">
          <w:rPr>
            <w:color w:val="000000"/>
          </w:rPr>
          <w:t>Приложению N 14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е) 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- согласно </w:t>
      </w:r>
      <w:hyperlink w:anchor="P1182" w:history="1">
        <w:r w:rsidRPr="0003466C">
          <w:rPr>
            <w:color w:val="000000"/>
          </w:rPr>
          <w:t>Приложению N 15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ж) реализация товаров с использованием торговых автоматов - согласно </w:t>
      </w:r>
      <w:hyperlink w:anchor="P1311" w:history="1">
        <w:r w:rsidRPr="0003466C">
          <w:rPr>
            <w:color w:val="000000"/>
          </w:rPr>
          <w:t>Приложению N 16</w:t>
        </w:r>
      </w:hyperlink>
      <w:r w:rsidRPr="0003466C">
        <w:rPr>
          <w:color w:val="000000"/>
        </w:rPr>
        <w:t xml:space="preserve"> к настоящему решению;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з) развозная (разносная)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- согласно </w:t>
      </w:r>
      <w:hyperlink w:anchor="P1334" w:history="1">
        <w:r w:rsidRPr="0003466C">
          <w:rPr>
            <w:color w:val="000000"/>
          </w:rPr>
          <w:t>Приложению N 17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согласно </w:t>
      </w:r>
      <w:hyperlink w:anchor="P1360" w:history="1">
        <w:r w:rsidRPr="0003466C">
          <w:rPr>
            <w:color w:val="000000"/>
          </w:rPr>
          <w:t>Приложению N 18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2.9. Оказание услуг общественного питания, осуществляемых через объекты организации общественного питания, не имеющие зала обслуживания посетителей, - согласно </w:t>
      </w:r>
      <w:hyperlink w:anchor="P1410" w:history="1">
        <w:r w:rsidRPr="0003466C">
          <w:rPr>
            <w:color w:val="000000"/>
          </w:rPr>
          <w:t>Приложению N 19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2.10. Распространение наружной рекламы с использованием рекламных конструкций - согласно </w:t>
      </w:r>
      <w:hyperlink w:anchor="P1438" w:history="1">
        <w:r w:rsidRPr="0003466C">
          <w:rPr>
            <w:color w:val="000000"/>
          </w:rPr>
          <w:t>Приложению N 20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2.11. Размещение рекламы с использованием внешних и внутренних поверхностей транспортных средств - согласно </w:t>
      </w:r>
      <w:hyperlink w:anchor="P1484" w:history="1">
        <w:r w:rsidRPr="0003466C">
          <w:rPr>
            <w:color w:val="000000"/>
          </w:rPr>
          <w:t>Приложению N 21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согласно </w:t>
      </w:r>
      <w:hyperlink w:anchor="P1510" w:history="1">
        <w:r w:rsidRPr="0003466C">
          <w:rPr>
            <w:color w:val="000000"/>
          </w:rPr>
          <w:t>Приложению N 22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посетителей, - согласно </w:t>
      </w:r>
      <w:hyperlink w:anchor="P1538" w:history="1">
        <w:r w:rsidRPr="0003466C">
          <w:rPr>
            <w:color w:val="000000"/>
          </w:rPr>
          <w:t>Приложению N 23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 xml:space="preserve"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согласно </w:t>
      </w:r>
      <w:hyperlink w:anchor="P1563" w:history="1">
        <w:r w:rsidRPr="0003466C">
          <w:rPr>
            <w:color w:val="000000"/>
          </w:rPr>
          <w:t>Приложению N 24</w:t>
        </w:r>
      </w:hyperlink>
      <w:r w:rsidRPr="0003466C">
        <w:rPr>
          <w:color w:val="000000"/>
        </w:rPr>
        <w:t xml:space="preserve"> к настоящему решению.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3. При осуществлении деятельности по оказанию бытовых и ветеринарных услуг, услуг по ремонту, техническому обслуживанию и мойке автомототранспортных средств, розничной торговле, общественному питанию, распространению и (или) размещению наружной рекламы, распространению и размещению рекламы с использованием внешних и внутренних поверхностей транспортных средств, оказанию услуг по временному размещению и проживанию выбор корректирующего коэффициента К2 производится в зависимости от вида (подвида) деятельности.</w:t>
      </w:r>
    </w:p>
    <w:p w:rsidR="00E85872" w:rsidRPr="0003466C" w:rsidRDefault="00E85872">
      <w:pPr>
        <w:pStyle w:val="ConsPlusNormal"/>
        <w:spacing w:before="220"/>
        <w:ind w:firstLine="540"/>
        <w:jc w:val="both"/>
        <w:rPr>
          <w:color w:val="000000"/>
        </w:rPr>
      </w:pPr>
      <w:r w:rsidRPr="0003466C">
        <w:rPr>
          <w:color w:val="000000"/>
        </w:rPr>
        <w:t>4. Настоящее решение вступает в силу с 1 января 2017 года и подлежит официальному опубликованию.</w:t>
      </w:r>
    </w:p>
    <w:p w:rsidR="00E85872" w:rsidRPr="0003466C" w:rsidRDefault="00E85872">
      <w:pPr>
        <w:pStyle w:val="ConsPlusNormal"/>
        <w:jc w:val="both"/>
        <w:rPr>
          <w:color w:val="000000"/>
        </w:rPr>
      </w:pPr>
    </w:p>
    <w:p w:rsidR="00E85872" w:rsidRPr="0003466C" w:rsidRDefault="00E85872">
      <w:pPr>
        <w:pStyle w:val="ConsPlusNormal"/>
        <w:jc w:val="right"/>
        <w:rPr>
          <w:color w:val="000000"/>
        </w:rPr>
      </w:pPr>
      <w:r w:rsidRPr="0003466C">
        <w:rPr>
          <w:color w:val="000000"/>
        </w:rPr>
        <w:t>Председатель Думы города Сасово,</w:t>
      </w:r>
    </w:p>
    <w:p w:rsidR="00E85872" w:rsidRPr="0003466C" w:rsidRDefault="00E85872">
      <w:pPr>
        <w:pStyle w:val="ConsPlusNormal"/>
        <w:jc w:val="right"/>
        <w:rPr>
          <w:color w:val="000000"/>
        </w:rPr>
      </w:pPr>
      <w:r w:rsidRPr="0003466C">
        <w:rPr>
          <w:color w:val="000000"/>
        </w:rPr>
        <w:t>глава муниципального образования -</w:t>
      </w:r>
    </w:p>
    <w:p w:rsidR="00E85872" w:rsidRPr="0003466C" w:rsidRDefault="00E85872">
      <w:pPr>
        <w:pStyle w:val="ConsPlusNormal"/>
        <w:jc w:val="right"/>
        <w:rPr>
          <w:color w:val="000000"/>
        </w:rPr>
      </w:pPr>
      <w:r w:rsidRPr="0003466C">
        <w:rPr>
          <w:color w:val="000000"/>
        </w:rPr>
        <w:t>городской округ город Сасово</w:t>
      </w:r>
    </w:p>
    <w:p w:rsidR="00E85872" w:rsidRPr="0003466C" w:rsidRDefault="00E85872">
      <w:pPr>
        <w:pStyle w:val="ConsPlusNormal"/>
        <w:jc w:val="right"/>
        <w:rPr>
          <w:color w:val="000000"/>
        </w:rPr>
      </w:pPr>
      <w:r w:rsidRPr="0003466C">
        <w:rPr>
          <w:color w:val="000000"/>
        </w:rPr>
        <w:t>С.В.ДЗЮБА</w:t>
      </w:r>
    </w:p>
    <w:p w:rsidR="00E85872" w:rsidRPr="0003466C" w:rsidRDefault="00E85872">
      <w:pPr>
        <w:pStyle w:val="ConsPlusNormal"/>
        <w:jc w:val="both"/>
        <w:rPr>
          <w:color w:val="000000"/>
        </w:rPr>
      </w:pPr>
    </w:p>
    <w:p w:rsidR="00E85872" w:rsidRPr="0003466C" w:rsidRDefault="00E85872">
      <w:pPr>
        <w:pStyle w:val="ConsPlusNormal"/>
        <w:jc w:val="both"/>
        <w:rPr>
          <w:color w:val="000000"/>
        </w:rPr>
      </w:pPr>
    </w:p>
    <w:p w:rsidR="00E85872" w:rsidRPr="0003466C" w:rsidRDefault="00E85872">
      <w:pPr>
        <w:pStyle w:val="ConsPlusNormal"/>
        <w:jc w:val="both"/>
        <w:rPr>
          <w:color w:val="000000"/>
        </w:rPr>
      </w:pPr>
    </w:p>
    <w:p w:rsidR="00E85872" w:rsidRPr="0003466C" w:rsidRDefault="00E85872">
      <w:pPr>
        <w:pStyle w:val="ConsPlusNormal"/>
        <w:jc w:val="both"/>
        <w:rPr>
          <w:color w:val="000000"/>
        </w:rPr>
      </w:pPr>
    </w:p>
    <w:p w:rsidR="00E85872" w:rsidRPr="0003466C" w:rsidRDefault="00E85872">
      <w:pPr>
        <w:pStyle w:val="ConsPlusNormal"/>
        <w:jc w:val="both"/>
        <w:rPr>
          <w:color w:val="000000"/>
        </w:rPr>
      </w:pPr>
    </w:p>
    <w:p w:rsidR="00E85872" w:rsidRPr="0003466C" w:rsidRDefault="00E85872">
      <w:pPr>
        <w:pStyle w:val="ConsPlusNormal"/>
        <w:jc w:val="both"/>
        <w:rPr>
          <w:color w:val="000000"/>
        </w:rPr>
      </w:pPr>
    </w:p>
    <w:sectPr w:rsidR="00E85872" w:rsidRPr="0003466C" w:rsidSect="0003466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06B"/>
    <w:rsid w:val="0001006B"/>
    <w:rsid w:val="0003466C"/>
    <w:rsid w:val="0049116A"/>
    <w:rsid w:val="00635EA4"/>
    <w:rsid w:val="00750620"/>
    <w:rsid w:val="008446C3"/>
    <w:rsid w:val="00BD5B40"/>
    <w:rsid w:val="00C04315"/>
    <w:rsid w:val="00CE7043"/>
    <w:rsid w:val="00E8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006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1006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006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01006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1006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01006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1006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01006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168D0961B0BD86D4C9DCBCD5669725B616D942A8EC8AFC29A8193FB4B74845F96ACFF2BE19A2793AF35F12A398142D2FF211520FB8B06AY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168D0961B0BD86D4C9C2B1C30AC92FB61F8149A3E180AA70FB1F68EBE74E10B92AC9A7FC5EAA7031A70E56F39E427475A71D4E05A6B2A1B3FC918B62Y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168D0961B0BD86D4C9C2B1C30AC92FB61F8149A3EE86AE71F51F68EBE74E10B92AC9A7FC5EAA7031A70E56F39E427475A71D4E05A6B2A1B3FC918B62Y9J" TargetMode="External"/><Relationship Id="rId5" Type="http://schemas.openxmlformats.org/officeDocument/2006/relationships/hyperlink" Target="consultantplus://offline/ref=5E168D0961B0BD86D4C9C2B1C30AC92FB61F8149A3EC82AA77F51F68EBE74E10B92AC9A7FC5EAA7031A70E56F39E427475A71D4E05A6B2A1B3FC918B62Y9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E168D0961B0BD86D4C9C2B1C30AC92FB61F8149A3EA82A274F41F68EBE74E10B92AC9A7FC5EAA7031A70E56F39E427475A71D4E05A6B2A1B3FC918B62Y9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1888</Words>
  <Characters>10765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4</cp:revision>
  <dcterms:created xsi:type="dcterms:W3CDTF">2020-01-29T13:00:00Z</dcterms:created>
  <dcterms:modified xsi:type="dcterms:W3CDTF">2020-01-29T13:01:00Z</dcterms:modified>
</cp:coreProperties>
</file>